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4613A" w14:textId="0FB434EB" w:rsidR="00A959C7" w:rsidRDefault="001E510D" w:rsidP="00A959C7">
      <w:pPr>
        <w:spacing w:before="100" w:beforeAutospacing="1" w:after="100" w:afterAutospacing="1"/>
        <w:contextualSpacing/>
        <w:rPr>
          <w:rFonts w:cs="Calibri"/>
          <w:b/>
          <w:bCs/>
          <w:sz w:val="28"/>
          <w:szCs w:val="28"/>
        </w:rPr>
      </w:pPr>
      <w:r>
        <w:rPr>
          <w:rFonts w:cs="Calibri"/>
          <w:b/>
          <w:bCs/>
          <w:sz w:val="28"/>
          <w:szCs w:val="28"/>
        </w:rPr>
        <w:t xml:space="preserve">Wyzwania dla polskiego biznesu. </w:t>
      </w:r>
      <w:r w:rsidR="00A17636">
        <w:rPr>
          <w:rFonts w:cs="Calibri"/>
          <w:b/>
          <w:bCs/>
          <w:sz w:val="28"/>
          <w:szCs w:val="28"/>
        </w:rPr>
        <w:t>Rynek faktoringu wraca na ścieżkę wzrostu</w:t>
      </w:r>
    </w:p>
    <w:p w14:paraId="35B43450" w14:textId="77777777" w:rsidR="00E7512A" w:rsidRDefault="00E7512A" w:rsidP="00A959C7">
      <w:pPr>
        <w:spacing w:before="100" w:beforeAutospacing="1" w:after="100" w:afterAutospacing="1"/>
        <w:contextualSpacing/>
        <w:rPr>
          <w:rFonts w:cs="Calibri"/>
          <w:b/>
          <w:bCs/>
          <w:sz w:val="28"/>
          <w:szCs w:val="28"/>
        </w:rPr>
      </w:pPr>
    </w:p>
    <w:p w14:paraId="2EB19CF9" w14:textId="2CA07036" w:rsidR="005F11C9" w:rsidRDefault="00A17636" w:rsidP="00A959C7">
      <w:pPr>
        <w:spacing w:before="100" w:beforeAutospacing="1" w:after="100" w:afterAutospacing="1"/>
        <w:contextualSpacing/>
        <w:jc w:val="both"/>
        <w:rPr>
          <w:rFonts w:cs="Calibri"/>
          <w:sz w:val="24"/>
          <w:szCs w:val="24"/>
        </w:rPr>
      </w:pPr>
      <w:r w:rsidRPr="00A17636">
        <w:rPr>
          <w:rFonts w:cs="Calibri"/>
          <w:sz w:val="24"/>
          <w:szCs w:val="24"/>
        </w:rPr>
        <w:t>Według danych Polskiego Związku Faktorów</w:t>
      </w:r>
      <w:r>
        <w:rPr>
          <w:rFonts w:cs="Calibri"/>
          <w:sz w:val="24"/>
          <w:szCs w:val="24"/>
        </w:rPr>
        <w:t>,</w:t>
      </w:r>
      <w:r w:rsidRPr="00A17636">
        <w:rPr>
          <w:rFonts w:cs="Calibri"/>
          <w:sz w:val="24"/>
          <w:szCs w:val="24"/>
        </w:rPr>
        <w:t xml:space="preserve"> w pierwszej połowie 2024 roku firmy faktoringowe wykupiły należności warte 228,3 mld zł. To o 1,1% więcej niż w analogicznym okresie rok temu. Na pierwszy kwartał przypadło 111,9 mld zł (-3,5% rok do roku), a na drugi – 116,4 mld zł (+4%). Wynik z okresu kwiecień-czerwiec okazał się najlepszy od trzeciego kwartału 2022 roku.</w:t>
      </w:r>
    </w:p>
    <w:p w14:paraId="4409A9EA" w14:textId="77777777" w:rsidR="00A17636" w:rsidRDefault="00A17636" w:rsidP="00A959C7">
      <w:pPr>
        <w:spacing w:before="100" w:beforeAutospacing="1" w:after="100" w:afterAutospacing="1"/>
        <w:contextualSpacing/>
        <w:jc w:val="both"/>
        <w:rPr>
          <w:rFonts w:cs="Calibri"/>
          <w:sz w:val="24"/>
          <w:szCs w:val="24"/>
        </w:rPr>
      </w:pPr>
    </w:p>
    <w:p w14:paraId="3E723512" w14:textId="093C366F" w:rsidR="00A17636" w:rsidRDefault="00A17636" w:rsidP="00A959C7">
      <w:pPr>
        <w:spacing w:before="100" w:beforeAutospacing="1" w:after="100" w:afterAutospacing="1"/>
        <w:contextualSpacing/>
        <w:jc w:val="both"/>
        <w:rPr>
          <w:rFonts w:cs="Calibri"/>
          <w:sz w:val="24"/>
          <w:szCs w:val="24"/>
        </w:rPr>
      </w:pPr>
      <w:r w:rsidRPr="00A17636">
        <w:rPr>
          <w:rFonts w:cs="Calibri"/>
          <w:sz w:val="24"/>
          <w:szCs w:val="24"/>
        </w:rPr>
        <w:t>Po dobrym drugim kwartale</w:t>
      </w:r>
      <w:r>
        <w:rPr>
          <w:rFonts w:cs="Calibri"/>
          <w:sz w:val="24"/>
          <w:szCs w:val="24"/>
        </w:rPr>
        <w:t>,</w:t>
      </w:r>
      <w:r w:rsidRPr="00A17636">
        <w:rPr>
          <w:rFonts w:cs="Calibri"/>
          <w:sz w:val="24"/>
          <w:szCs w:val="24"/>
        </w:rPr>
        <w:t xml:space="preserve"> firmy faktoringowe zwiększyły obroty w całym półroczu. Mimo że na lepszy wynik zapracowała tylko połowa branży, rynek wychodzi z impasu. Z dużym prawdopodobieństwem, krótka seria spadków okazała się</w:t>
      </w:r>
      <w:r>
        <w:rPr>
          <w:rFonts w:cs="Calibri"/>
          <w:sz w:val="24"/>
          <w:szCs w:val="24"/>
        </w:rPr>
        <w:t xml:space="preserve"> przejściowa</w:t>
      </w:r>
      <w:r w:rsidRPr="00A17636">
        <w:rPr>
          <w:rFonts w:cs="Calibri"/>
          <w:sz w:val="24"/>
          <w:szCs w:val="24"/>
        </w:rPr>
        <w:t>. Faktury na gotówkę zamieniło 24,1 tys. firm. Przekazały one do sfinansowania 14,2 mln dokumentów płatniczych.</w:t>
      </w:r>
    </w:p>
    <w:p w14:paraId="2F0EF79D" w14:textId="77777777" w:rsidR="005B11DF" w:rsidRDefault="005B11DF" w:rsidP="00A959C7">
      <w:pPr>
        <w:spacing w:before="100" w:beforeAutospacing="1" w:after="100" w:afterAutospacing="1"/>
        <w:contextualSpacing/>
        <w:jc w:val="both"/>
        <w:rPr>
          <w:rFonts w:cs="Calibri"/>
          <w:sz w:val="24"/>
          <w:szCs w:val="24"/>
        </w:rPr>
      </w:pPr>
    </w:p>
    <w:p w14:paraId="23562DDB" w14:textId="0DB5AD52" w:rsidR="005B11DF" w:rsidRDefault="005B11DF" w:rsidP="00A959C7">
      <w:pPr>
        <w:spacing w:before="100" w:beforeAutospacing="1" w:after="100" w:afterAutospacing="1"/>
        <w:contextualSpacing/>
        <w:jc w:val="both"/>
        <w:rPr>
          <w:rFonts w:cs="Calibri"/>
          <w:sz w:val="24"/>
          <w:szCs w:val="24"/>
        </w:rPr>
      </w:pPr>
      <w:r w:rsidRPr="005B11DF">
        <w:rPr>
          <w:rFonts w:cs="Calibri"/>
          <w:sz w:val="24"/>
          <w:szCs w:val="24"/>
        </w:rPr>
        <w:t xml:space="preserve">Obecna sytuacja w sektorze wskazuje na dynamiczny rozwój i rosnące zainteresowanie faktoringiem wśród przedsiębiorstw. Wyniki za ostatni kwartał pokazują, że </w:t>
      </w:r>
      <w:r w:rsidR="00291628">
        <w:rPr>
          <w:rFonts w:cs="Calibri"/>
          <w:sz w:val="24"/>
          <w:szCs w:val="24"/>
        </w:rPr>
        <w:t>usługa</w:t>
      </w:r>
      <w:r w:rsidRPr="005B11DF">
        <w:rPr>
          <w:rFonts w:cs="Calibri"/>
          <w:sz w:val="24"/>
          <w:szCs w:val="24"/>
        </w:rPr>
        <w:t xml:space="preserve"> zyskuje na znaczeniu, zwłaszcza w obliczu zmieniających się warunków gospodarczych i niepewności na rynkach. Małe i średnie przedsiębiorstwa coraz chętniej korzystają z faktoringu, co jest spowodowane potrzebą poprawy płynności finansowej oraz zabezpieczenia się przed opóźnieniami w płatnościach ze strony kontrahentów. Taka forma finansowania umożliwia firmom lepsze zarządzanie przepływami pieniężnymi, co jest kluczowe w niepewnych czasach. Z perspektywy BNP </w:t>
      </w:r>
      <w:proofErr w:type="spellStart"/>
      <w:r w:rsidRPr="005B11DF">
        <w:rPr>
          <w:rFonts w:cs="Calibri"/>
          <w:sz w:val="24"/>
          <w:szCs w:val="24"/>
        </w:rPr>
        <w:t>Paribas</w:t>
      </w:r>
      <w:proofErr w:type="spellEnd"/>
      <w:r w:rsidRPr="005B11DF">
        <w:rPr>
          <w:rFonts w:cs="Calibri"/>
          <w:sz w:val="24"/>
          <w:szCs w:val="24"/>
        </w:rPr>
        <w:t xml:space="preserve"> Faktoring, wzrosty dotyczą również faktoringu eksportowego, co jest związane z rozszerzeniem działalności polskich firm na rynki zagraniczne. Faktoring eksportowy pomaga </w:t>
      </w:r>
      <w:r w:rsidR="00291628">
        <w:rPr>
          <w:rFonts w:cs="Calibri"/>
          <w:sz w:val="24"/>
          <w:szCs w:val="24"/>
        </w:rPr>
        <w:t>przedsiębiorcom</w:t>
      </w:r>
      <w:r w:rsidRPr="005B11DF">
        <w:rPr>
          <w:rFonts w:cs="Calibri"/>
          <w:sz w:val="24"/>
          <w:szCs w:val="24"/>
        </w:rPr>
        <w:t xml:space="preserve"> w zmniejszeniu ryzyka związanego z transakcjami międzynarodowymi, co jest istotne w obliczu globalnych wyzwań gospodarczych.</w:t>
      </w:r>
    </w:p>
    <w:p w14:paraId="3E8F0DEC" w14:textId="77777777" w:rsidR="005B11DF" w:rsidRDefault="005B11DF" w:rsidP="00A959C7">
      <w:pPr>
        <w:spacing w:before="100" w:beforeAutospacing="1" w:after="100" w:afterAutospacing="1"/>
        <w:contextualSpacing/>
        <w:jc w:val="both"/>
        <w:rPr>
          <w:rFonts w:cs="Calibri"/>
          <w:sz w:val="24"/>
          <w:szCs w:val="24"/>
        </w:rPr>
      </w:pPr>
    </w:p>
    <w:p w14:paraId="6C0B2EF1" w14:textId="4BD1E045" w:rsidR="00291628" w:rsidRPr="00291628" w:rsidRDefault="00291628" w:rsidP="005B11DF">
      <w:pPr>
        <w:spacing w:before="100" w:beforeAutospacing="1" w:after="100" w:afterAutospacing="1"/>
        <w:contextualSpacing/>
        <w:jc w:val="both"/>
        <w:rPr>
          <w:rFonts w:cs="Calibri"/>
          <w:b/>
          <w:bCs/>
          <w:sz w:val="24"/>
          <w:szCs w:val="24"/>
        </w:rPr>
      </w:pPr>
      <w:r w:rsidRPr="00291628">
        <w:rPr>
          <w:rFonts w:cs="Calibri"/>
          <w:b/>
          <w:bCs/>
          <w:sz w:val="24"/>
          <w:szCs w:val="24"/>
        </w:rPr>
        <w:t>Zaawansowane technologie</w:t>
      </w:r>
    </w:p>
    <w:p w14:paraId="41C273D8" w14:textId="69A4A2EC" w:rsidR="005B11DF" w:rsidRDefault="005B11DF" w:rsidP="005B11DF">
      <w:pPr>
        <w:spacing w:before="100" w:beforeAutospacing="1" w:after="100" w:afterAutospacing="1"/>
        <w:contextualSpacing/>
        <w:jc w:val="both"/>
        <w:rPr>
          <w:rFonts w:cs="Calibri"/>
          <w:sz w:val="24"/>
          <w:szCs w:val="24"/>
        </w:rPr>
      </w:pPr>
      <w:r w:rsidRPr="005B11DF">
        <w:rPr>
          <w:rFonts w:cs="Calibri"/>
          <w:sz w:val="24"/>
          <w:szCs w:val="24"/>
        </w:rPr>
        <w:t xml:space="preserve">Firmy faktoringowe inwestują w nowe technologie, które umożliwiają szybsze i bardziej efektywne zarządzanie procesem faktoringu. Digitalizacja i automatyzacja stają się kluczowe w kontekście zwiększania skali działalności oraz poprawy jakości </w:t>
      </w:r>
      <w:r w:rsidR="00291628">
        <w:rPr>
          <w:rFonts w:cs="Calibri"/>
          <w:sz w:val="24"/>
          <w:szCs w:val="24"/>
        </w:rPr>
        <w:t>współpracy z klientami</w:t>
      </w:r>
      <w:r w:rsidRPr="005B11DF">
        <w:rPr>
          <w:rFonts w:cs="Calibri"/>
          <w:sz w:val="24"/>
          <w:szCs w:val="24"/>
        </w:rPr>
        <w:t>.</w:t>
      </w:r>
      <w:r>
        <w:rPr>
          <w:rFonts w:cs="Calibri"/>
          <w:sz w:val="24"/>
          <w:szCs w:val="24"/>
        </w:rPr>
        <w:t xml:space="preserve"> Do obsługi faktoringu wykorzystywane są również inteligentne algorytmy. </w:t>
      </w:r>
      <w:r w:rsidRPr="00D97FB1">
        <w:rPr>
          <w:rFonts w:cs="Calibri"/>
          <w:sz w:val="24"/>
          <w:szCs w:val="24"/>
        </w:rPr>
        <w:t xml:space="preserve">Przykład stanowi </w:t>
      </w:r>
      <w:proofErr w:type="spellStart"/>
      <w:r w:rsidRPr="00D97FB1">
        <w:rPr>
          <w:rFonts w:cs="Calibri"/>
          <w:sz w:val="24"/>
          <w:szCs w:val="24"/>
        </w:rPr>
        <w:t>chatbot</w:t>
      </w:r>
      <w:proofErr w:type="spellEnd"/>
      <w:r w:rsidRPr="00D97FB1">
        <w:rPr>
          <w:rFonts w:cs="Calibri"/>
          <w:sz w:val="24"/>
          <w:szCs w:val="24"/>
        </w:rPr>
        <w:t xml:space="preserve"> wykorzystujący algorytm uczący się, wbudowany w system do obsługi faktoringu, który </w:t>
      </w:r>
      <w:r>
        <w:rPr>
          <w:rFonts w:cs="Calibri"/>
          <w:sz w:val="24"/>
          <w:szCs w:val="24"/>
        </w:rPr>
        <w:t>jest</w:t>
      </w:r>
      <w:r w:rsidRPr="00D97FB1">
        <w:rPr>
          <w:rFonts w:cs="Calibri"/>
          <w:sz w:val="24"/>
          <w:szCs w:val="24"/>
        </w:rPr>
        <w:t xml:space="preserve"> w stanie udzielić klientowi odpowiedzi kontekstowo, bez potrzeby znajomości funkcjonalności całego systemu.</w:t>
      </w:r>
      <w:r>
        <w:rPr>
          <w:rFonts w:cs="Calibri"/>
          <w:sz w:val="24"/>
          <w:szCs w:val="24"/>
        </w:rPr>
        <w:t xml:space="preserve"> Innym innowacyjnym</w:t>
      </w:r>
      <w:r w:rsidRPr="00D97FB1">
        <w:rPr>
          <w:rFonts w:cs="Calibri"/>
          <w:sz w:val="24"/>
          <w:szCs w:val="24"/>
        </w:rPr>
        <w:t xml:space="preserve"> obszarem jest wewnętrzy proces oceny ryzyka kredytowego transakcji, który jest niezbędny do przedłużania limitu. Wymaga on również pewnego wysiłku od klienta pod względem dostarczenia wymaganych danych. Celem jest automatyzacja procesu oceny ryzyka i ograniczenie wymogów dokumentowych. </w:t>
      </w:r>
    </w:p>
    <w:p w14:paraId="068E217E" w14:textId="77777777" w:rsidR="00061570" w:rsidRDefault="00061570" w:rsidP="005B11DF">
      <w:pPr>
        <w:spacing w:before="100" w:beforeAutospacing="1" w:after="100" w:afterAutospacing="1"/>
        <w:contextualSpacing/>
        <w:jc w:val="both"/>
        <w:rPr>
          <w:rFonts w:cs="Calibri"/>
          <w:sz w:val="24"/>
          <w:szCs w:val="24"/>
        </w:rPr>
      </w:pPr>
    </w:p>
    <w:p w14:paraId="6E57C6A3" w14:textId="071EE4B9" w:rsidR="00A17636" w:rsidRDefault="00061570" w:rsidP="00A959C7">
      <w:pPr>
        <w:spacing w:before="100" w:beforeAutospacing="1" w:after="100" w:afterAutospacing="1"/>
        <w:contextualSpacing/>
        <w:jc w:val="both"/>
        <w:rPr>
          <w:rFonts w:cs="Calibri"/>
          <w:sz w:val="24"/>
          <w:szCs w:val="24"/>
        </w:rPr>
      </w:pPr>
      <w:r w:rsidRPr="00061570">
        <w:rPr>
          <w:rFonts w:cs="Calibri"/>
          <w:sz w:val="24"/>
          <w:szCs w:val="24"/>
        </w:rPr>
        <w:lastRenderedPageBreak/>
        <w:t xml:space="preserve">Rynek </w:t>
      </w:r>
      <w:r>
        <w:rPr>
          <w:rFonts w:cs="Calibri"/>
          <w:sz w:val="24"/>
          <w:szCs w:val="24"/>
        </w:rPr>
        <w:t>konsekwentnie</w:t>
      </w:r>
      <w:r w:rsidRPr="00061570">
        <w:rPr>
          <w:rFonts w:cs="Calibri"/>
          <w:sz w:val="24"/>
          <w:szCs w:val="24"/>
        </w:rPr>
        <w:t xml:space="preserve"> wraca na ścieżkę wzrostu i w najbliższej przyszłości powinien kontynuować systematyczny rozwój. Potwierdza to między innymi rosnące zainteresowanie faktoringiem. Coraz więcej faktur trafia do nas w celu sfinansowania, co dowodzi, że nasza oferta sprawdza się nie tylko w czasach dobrej koniunktury, ale także podczas recesji. Jest ona istotnym wsparciem dla firm w trudnych momentach, zapewniając płynność finansową poprzez przekształcanie należności w gotówkę.</w:t>
      </w:r>
    </w:p>
    <w:p w14:paraId="783A24D9" w14:textId="77777777" w:rsidR="00291628" w:rsidRDefault="00291628" w:rsidP="00A959C7">
      <w:pPr>
        <w:spacing w:before="100" w:beforeAutospacing="1" w:after="100" w:afterAutospacing="1"/>
        <w:contextualSpacing/>
        <w:jc w:val="both"/>
        <w:rPr>
          <w:rFonts w:cs="Calibri"/>
          <w:sz w:val="24"/>
          <w:szCs w:val="24"/>
        </w:rPr>
      </w:pPr>
    </w:p>
    <w:p w14:paraId="191956B8" w14:textId="7CFA72BF" w:rsidR="005F11C9" w:rsidRDefault="005F11C9" w:rsidP="005F11C9">
      <w:pPr>
        <w:spacing w:before="100" w:beforeAutospacing="1" w:after="100" w:afterAutospacing="1"/>
        <w:contextualSpacing/>
        <w:jc w:val="right"/>
        <w:rPr>
          <w:rFonts w:cs="Calibri"/>
          <w:b/>
          <w:bCs/>
          <w:i/>
          <w:iCs/>
          <w:sz w:val="24"/>
          <w:szCs w:val="24"/>
        </w:rPr>
      </w:pPr>
      <w:r>
        <w:rPr>
          <w:rFonts w:cs="Calibri"/>
          <w:b/>
          <w:bCs/>
          <w:i/>
          <w:iCs/>
          <w:sz w:val="24"/>
          <w:szCs w:val="24"/>
        </w:rPr>
        <w:t>Paweł Kacprzak</w:t>
      </w:r>
    </w:p>
    <w:p w14:paraId="3B4DBBBE" w14:textId="5640B135" w:rsidR="005F11C9" w:rsidRDefault="005F11C9" w:rsidP="005F11C9">
      <w:pPr>
        <w:spacing w:before="100" w:beforeAutospacing="1" w:after="100" w:afterAutospacing="1"/>
        <w:contextualSpacing/>
        <w:jc w:val="right"/>
        <w:rPr>
          <w:rFonts w:cs="Calibri"/>
          <w:b/>
          <w:bCs/>
          <w:i/>
          <w:iCs/>
          <w:sz w:val="24"/>
          <w:szCs w:val="24"/>
        </w:rPr>
      </w:pPr>
      <w:r>
        <w:rPr>
          <w:rFonts w:cs="Calibri"/>
          <w:b/>
          <w:bCs/>
          <w:i/>
          <w:iCs/>
          <w:sz w:val="24"/>
          <w:szCs w:val="24"/>
        </w:rPr>
        <w:t>Członek zarządu</w:t>
      </w:r>
    </w:p>
    <w:p w14:paraId="16937037" w14:textId="5F51EF97" w:rsidR="005F11C9" w:rsidRPr="005F11C9" w:rsidRDefault="005F11C9" w:rsidP="005F11C9">
      <w:pPr>
        <w:spacing w:before="100" w:beforeAutospacing="1" w:after="100" w:afterAutospacing="1"/>
        <w:contextualSpacing/>
        <w:jc w:val="right"/>
        <w:rPr>
          <w:rFonts w:cs="Calibri"/>
          <w:b/>
          <w:bCs/>
          <w:i/>
          <w:iCs/>
          <w:sz w:val="24"/>
          <w:szCs w:val="24"/>
        </w:rPr>
      </w:pPr>
      <w:r>
        <w:rPr>
          <w:rFonts w:cs="Calibri"/>
          <w:b/>
          <w:bCs/>
          <w:i/>
          <w:iCs/>
          <w:sz w:val="24"/>
          <w:szCs w:val="24"/>
        </w:rPr>
        <w:t xml:space="preserve">BNP </w:t>
      </w:r>
      <w:proofErr w:type="spellStart"/>
      <w:r>
        <w:rPr>
          <w:rFonts w:cs="Calibri"/>
          <w:b/>
          <w:bCs/>
          <w:i/>
          <w:iCs/>
          <w:sz w:val="24"/>
          <w:szCs w:val="24"/>
        </w:rPr>
        <w:t>Paribas</w:t>
      </w:r>
      <w:proofErr w:type="spellEnd"/>
      <w:r>
        <w:rPr>
          <w:rFonts w:cs="Calibri"/>
          <w:b/>
          <w:bCs/>
          <w:i/>
          <w:iCs/>
          <w:sz w:val="24"/>
          <w:szCs w:val="24"/>
        </w:rPr>
        <w:t xml:space="preserve"> Faktoring</w:t>
      </w:r>
    </w:p>
    <w:p w14:paraId="5951DEE6" w14:textId="77777777" w:rsidR="00A959C7" w:rsidRPr="00A959C7" w:rsidRDefault="00A959C7" w:rsidP="00A959C7">
      <w:pPr>
        <w:spacing w:before="100" w:beforeAutospacing="1" w:after="100" w:afterAutospacing="1"/>
        <w:contextualSpacing/>
        <w:jc w:val="both"/>
        <w:rPr>
          <w:rFonts w:cs="Calibri"/>
          <w:sz w:val="24"/>
          <w:szCs w:val="24"/>
        </w:rPr>
      </w:pPr>
    </w:p>
    <w:p w14:paraId="397CE394" w14:textId="77777777" w:rsidR="00A959C7" w:rsidRDefault="00A959C7" w:rsidP="00AF4168">
      <w:pPr>
        <w:spacing w:before="100" w:beforeAutospacing="1" w:after="100" w:afterAutospacing="1"/>
        <w:contextualSpacing/>
        <w:rPr>
          <w:rFonts w:cs="Calibri"/>
          <w:b/>
          <w:bCs/>
          <w:sz w:val="28"/>
          <w:szCs w:val="28"/>
        </w:rPr>
      </w:pPr>
    </w:p>
    <w:p w14:paraId="0CA1B65B" w14:textId="77777777" w:rsidR="00AF4168" w:rsidRDefault="00AF4168" w:rsidP="00AF4168">
      <w:pPr>
        <w:spacing w:before="100" w:beforeAutospacing="1" w:after="100" w:afterAutospacing="1"/>
        <w:contextualSpacing/>
        <w:rPr>
          <w:rFonts w:cs="Calibri"/>
          <w:b/>
          <w:bCs/>
          <w:sz w:val="28"/>
          <w:szCs w:val="28"/>
        </w:rPr>
      </w:pPr>
    </w:p>
    <w:p w14:paraId="180614F8" w14:textId="77777777" w:rsidR="00106D25" w:rsidRDefault="00106D25" w:rsidP="00285523">
      <w:pPr>
        <w:spacing w:before="100" w:beforeAutospacing="1" w:after="100" w:afterAutospacing="1"/>
        <w:contextualSpacing/>
        <w:jc w:val="center"/>
        <w:rPr>
          <w:rFonts w:cs="Calibri"/>
          <w:b/>
          <w:bCs/>
          <w:sz w:val="28"/>
          <w:szCs w:val="28"/>
        </w:rPr>
      </w:pPr>
    </w:p>
    <w:p w14:paraId="2C2646D8" w14:textId="2692F59B" w:rsidR="007C430C" w:rsidRPr="00124090" w:rsidRDefault="007C430C" w:rsidP="00285523">
      <w:pPr>
        <w:pBdr>
          <w:top w:val="nil"/>
          <w:left w:val="nil"/>
          <w:bottom w:val="nil"/>
          <w:right w:val="nil"/>
          <w:between w:val="nil"/>
        </w:pBdr>
        <w:spacing w:before="100" w:beforeAutospacing="1" w:after="100" w:afterAutospacing="1"/>
        <w:ind w:hanging="2"/>
        <w:contextualSpacing/>
        <w:jc w:val="both"/>
        <w:rPr>
          <w:color w:val="000000"/>
          <w:sz w:val="20"/>
          <w:szCs w:val="20"/>
        </w:rPr>
      </w:pPr>
    </w:p>
    <w:sectPr w:rsidR="007C430C" w:rsidRPr="00124090">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20307" w14:textId="77777777" w:rsidR="00D80029" w:rsidRDefault="00D80029" w:rsidP="007C430C">
      <w:pPr>
        <w:spacing w:after="0" w:line="240" w:lineRule="auto"/>
      </w:pPr>
      <w:r>
        <w:separator/>
      </w:r>
    </w:p>
  </w:endnote>
  <w:endnote w:type="continuationSeparator" w:id="0">
    <w:p w14:paraId="6DAE8A58" w14:textId="77777777" w:rsidR="00D80029" w:rsidRDefault="00D80029" w:rsidP="007C4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57C5A" w14:textId="77777777" w:rsidR="00D80029" w:rsidRDefault="00D80029" w:rsidP="007C430C">
      <w:pPr>
        <w:spacing w:after="0" w:line="240" w:lineRule="auto"/>
      </w:pPr>
      <w:r>
        <w:separator/>
      </w:r>
    </w:p>
  </w:footnote>
  <w:footnote w:type="continuationSeparator" w:id="0">
    <w:p w14:paraId="1594687C" w14:textId="77777777" w:rsidR="00D80029" w:rsidRDefault="00D80029" w:rsidP="007C4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68E8C" w14:textId="77777777" w:rsidR="007C430C" w:rsidRDefault="001D716F" w:rsidP="007C430C">
    <w:pPr>
      <w:pStyle w:val="Nagwek"/>
      <w:jc w:val="center"/>
    </w:pPr>
    <w:r w:rsidRPr="00B4370B">
      <w:rPr>
        <w:noProof/>
        <w:lang w:eastAsia="pl-PL"/>
      </w:rPr>
      <w:drawing>
        <wp:inline distT="0" distB="0" distL="0" distR="0" wp14:anchorId="680EEA29" wp14:editId="1F3A0BE6">
          <wp:extent cx="3611880" cy="101346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1880" cy="10134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30C"/>
    <w:rsid w:val="00027152"/>
    <w:rsid w:val="00051D9D"/>
    <w:rsid w:val="00052D6A"/>
    <w:rsid w:val="0005686E"/>
    <w:rsid w:val="00060453"/>
    <w:rsid w:val="00061570"/>
    <w:rsid w:val="00062187"/>
    <w:rsid w:val="00074E94"/>
    <w:rsid w:val="000B3BB9"/>
    <w:rsid w:val="000B486F"/>
    <w:rsid w:val="000B73EC"/>
    <w:rsid w:val="000D6C4F"/>
    <w:rsid w:val="000E0E4F"/>
    <w:rsid w:val="000E1D5D"/>
    <w:rsid w:val="000E44F0"/>
    <w:rsid w:val="00100274"/>
    <w:rsid w:val="0010191C"/>
    <w:rsid w:val="001021FC"/>
    <w:rsid w:val="00106D25"/>
    <w:rsid w:val="00124090"/>
    <w:rsid w:val="00141BAD"/>
    <w:rsid w:val="00144540"/>
    <w:rsid w:val="001543F0"/>
    <w:rsid w:val="00157CAF"/>
    <w:rsid w:val="00161687"/>
    <w:rsid w:val="001662C7"/>
    <w:rsid w:val="0018583B"/>
    <w:rsid w:val="0019498E"/>
    <w:rsid w:val="001D5A11"/>
    <w:rsid w:val="001D6E61"/>
    <w:rsid w:val="001D716F"/>
    <w:rsid w:val="001E1C13"/>
    <w:rsid w:val="001E26C3"/>
    <w:rsid w:val="001E510D"/>
    <w:rsid w:val="001F7380"/>
    <w:rsid w:val="002070FE"/>
    <w:rsid w:val="00216D49"/>
    <w:rsid w:val="0022109C"/>
    <w:rsid w:val="00222A28"/>
    <w:rsid w:val="002231DA"/>
    <w:rsid w:val="00232807"/>
    <w:rsid w:val="00232AE6"/>
    <w:rsid w:val="00285523"/>
    <w:rsid w:val="00291628"/>
    <w:rsid w:val="002923D2"/>
    <w:rsid w:val="002938B1"/>
    <w:rsid w:val="002A3F41"/>
    <w:rsid w:val="002B02AD"/>
    <w:rsid w:val="002B10F8"/>
    <w:rsid w:val="002D4A91"/>
    <w:rsid w:val="002E5B7B"/>
    <w:rsid w:val="00312C9D"/>
    <w:rsid w:val="00315304"/>
    <w:rsid w:val="003201AB"/>
    <w:rsid w:val="003229DB"/>
    <w:rsid w:val="00327202"/>
    <w:rsid w:val="00333591"/>
    <w:rsid w:val="00346382"/>
    <w:rsid w:val="003469BC"/>
    <w:rsid w:val="00352BEF"/>
    <w:rsid w:val="00366B18"/>
    <w:rsid w:val="00373BFE"/>
    <w:rsid w:val="00377188"/>
    <w:rsid w:val="00382AD0"/>
    <w:rsid w:val="003938D4"/>
    <w:rsid w:val="003A48F5"/>
    <w:rsid w:val="003B1988"/>
    <w:rsid w:val="003C101F"/>
    <w:rsid w:val="003C74E7"/>
    <w:rsid w:val="003D667F"/>
    <w:rsid w:val="003F1F0D"/>
    <w:rsid w:val="003F56D2"/>
    <w:rsid w:val="004011A4"/>
    <w:rsid w:val="00424D40"/>
    <w:rsid w:val="00432FAD"/>
    <w:rsid w:val="00440852"/>
    <w:rsid w:val="00440945"/>
    <w:rsid w:val="00440995"/>
    <w:rsid w:val="00461A10"/>
    <w:rsid w:val="00462673"/>
    <w:rsid w:val="00463AE2"/>
    <w:rsid w:val="00472753"/>
    <w:rsid w:val="004749AC"/>
    <w:rsid w:val="004A784F"/>
    <w:rsid w:val="004C5847"/>
    <w:rsid w:val="004C5E96"/>
    <w:rsid w:val="004D2C3B"/>
    <w:rsid w:val="004D6519"/>
    <w:rsid w:val="004E4F10"/>
    <w:rsid w:val="004F6904"/>
    <w:rsid w:val="005005AA"/>
    <w:rsid w:val="00511FA8"/>
    <w:rsid w:val="00512E82"/>
    <w:rsid w:val="0051364A"/>
    <w:rsid w:val="00534301"/>
    <w:rsid w:val="0055656B"/>
    <w:rsid w:val="00560E4B"/>
    <w:rsid w:val="005618DA"/>
    <w:rsid w:val="005A21F4"/>
    <w:rsid w:val="005A66EC"/>
    <w:rsid w:val="005B11DF"/>
    <w:rsid w:val="005E48E2"/>
    <w:rsid w:val="005F11C9"/>
    <w:rsid w:val="005F50C8"/>
    <w:rsid w:val="00634120"/>
    <w:rsid w:val="0066613A"/>
    <w:rsid w:val="00693D58"/>
    <w:rsid w:val="0069585A"/>
    <w:rsid w:val="006B78BD"/>
    <w:rsid w:val="006C491D"/>
    <w:rsid w:val="006C7CCB"/>
    <w:rsid w:val="006D0730"/>
    <w:rsid w:val="006F2D11"/>
    <w:rsid w:val="006F3078"/>
    <w:rsid w:val="00700A11"/>
    <w:rsid w:val="00730A60"/>
    <w:rsid w:val="007405E4"/>
    <w:rsid w:val="00742610"/>
    <w:rsid w:val="00764C2E"/>
    <w:rsid w:val="00772BEE"/>
    <w:rsid w:val="00773091"/>
    <w:rsid w:val="007820DB"/>
    <w:rsid w:val="0078721D"/>
    <w:rsid w:val="007A0FDF"/>
    <w:rsid w:val="007A5718"/>
    <w:rsid w:val="007A7ECA"/>
    <w:rsid w:val="007B1149"/>
    <w:rsid w:val="007B1B6D"/>
    <w:rsid w:val="007C142B"/>
    <w:rsid w:val="007C430C"/>
    <w:rsid w:val="007E16B5"/>
    <w:rsid w:val="007E1739"/>
    <w:rsid w:val="0080426E"/>
    <w:rsid w:val="008135A8"/>
    <w:rsid w:val="0081421D"/>
    <w:rsid w:val="00844DBA"/>
    <w:rsid w:val="008457E7"/>
    <w:rsid w:val="00847760"/>
    <w:rsid w:val="00861F1B"/>
    <w:rsid w:val="00890B42"/>
    <w:rsid w:val="008C454C"/>
    <w:rsid w:val="008D1F29"/>
    <w:rsid w:val="008D4A2C"/>
    <w:rsid w:val="00903301"/>
    <w:rsid w:val="0090387E"/>
    <w:rsid w:val="00915A30"/>
    <w:rsid w:val="00946C7B"/>
    <w:rsid w:val="00993314"/>
    <w:rsid w:val="009B1B51"/>
    <w:rsid w:val="009C25C5"/>
    <w:rsid w:val="00A07567"/>
    <w:rsid w:val="00A15E5D"/>
    <w:rsid w:val="00A17636"/>
    <w:rsid w:val="00A7174B"/>
    <w:rsid w:val="00A745DF"/>
    <w:rsid w:val="00A87C9D"/>
    <w:rsid w:val="00A959C7"/>
    <w:rsid w:val="00AB3E8E"/>
    <w:rsid w:val="00AC753B"/>
    <w:rsid w:val="00AE4F25"/>
    <w:rsid w:val="00AF4168"/>
    <w:rsid w:val="00AF60B7"/>
    <w:rsid w:val="00B00E1B"/>
    <w:rsid w:val="00B03CAE"/>
    <w:rsid w:val="00B07955"/>
    <w:rsid w:val="00B12F51"/>
    <w:rsid w:val="00B25AC3"/>
    <w:rsid w:val="00B43AB5"/>
    <w:rsid w:val="00B5577E"/>
    <w:rsid w:val="00B62536"/>
    <w:rsid w:val="00B865EC"/>
    <w:rsid w:val="00BB3ED3"/>
    <w:rsid w:val="00BC4CCD"/>
    <w:rsid w:val="00BE6D57"/>
    <w:rsid w:val="00BF3867"/>
    <w:rsid w:val="00BF6AD9"/>
    <w:rsid w:val="00BF7B67"/>
    <w:rsid w:val="00C16DB7"/>
    <w:rsid w:val="00C267ED"/>
    <w:rsid w:val="00C56CCC"/>
    <w:rsid w:val="00C63B8C"/>
    <w:rsid w:val="00C7722F"/>
    <w:rsid w:val="00C82978"/>
    <w:rsid w:val="00C82989"/>
    <w:rsid w:val="00C87602"/>
    <w:rsid w:val="00CB045C"/>
    <w:rsid w:val="00CC0EBA"/>
    <w:rsid w:val="00CC1B11"/>
    <w:rsid w:val="00CE6CF2"/>
    <w:rsid w:val="00CE7194"/>
    <w:rsid w:val="00D016B7"/>
    <w:rsid w:val="00D312DA"/>
    <w:rsid w:val="00D408C6"/>
    <w:rsid w:val="00D546EB"/>
    <w:rsid w:val="00D56970"/>
    <w:rsid w:val="00D74176"/>
    <w:rsid w:val="00D77924"/>
    <w:rsid w:val="00D80029"/>
    <w:rsid w:val="00D8426B"/>
    <w:rsid w:val="00D93D7A"/>
    <w:rsid w:val="00DB7289"/>
    <w:rsid w:val="00DC4A89"/>
    <w:rsid w:val="00DE0E30"/>
    <w:rsid w:val="00DF7DE1"/>
    <w:rsid w:val="00E01684"/>
    <w:rsid w:val="00E14D9B"/>
    <w:rsid w:val="00E30266"/>
    <w:rsid w:val="00E44EA0"/>
    <w:rsid w:val="00E7512A"/>
    <w:rsid w:val="00E84B44"/>
    <w:rsid w:val="00E8554B"/>
    <w:rsid w:val="00E97568"/>
    <w:rsid w:val="00EB035D"/>
    <w:rsid w:val="00EF27D2"/>
    <w:rsid w:val="00EF538D"/>
    <w:rsid w:val="00F01124"/>
    <w:rsid w:val="00F0114B"/>
    <w:rsid w:val="00F03449"/>
    <w:rsid w:val="00F10EFE"/>
    <w:rsid w:val="00F128FE"/>
    <w:rsid w:val="00F16629"/>
    <w:rsid w:val="00F30D5E"/>
    <w:rsid w:val="00F509B5"/>
    <w:rsid w:val="00F659E7"/>
    <w:rsid w:val="00F73130"/>
    <w:rsid w:val="00F76180"/>
    <w:rsid w:val="00FD1555"/>
    <w:rsid w:val="00FE6D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7E629"/>
  <w15:chartTrackingRefBased/>
  <w15:docId w15:val="{F64E6369-12B6-433F-9E57-5743BAE8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C430C"/>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7C430C"/>
    <w:rPr>
      <w:rFonts w:ascii="Tahoma" w:hAnsi="Tahoma" w:cs="Tahoma"/>
      <w:sz w:val="16"/>
      <w:szCs w:val="16"/>
    </w:rPr>
  </w:style>
  <w:style w:type="paragraph" w:styleId="Nagwek">
    <w:name w:val="header"/>
    <w:basedOn w:val="Normalny"/>
    <w:link w:val="NagwekZnak"/>
    <w:uiPriority w:val="99"/>
    <w:unhideWhenUsed/>
    <w:rsid w:val="007C43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430C"/>
  </w:style>
  <w:style w:type="paragraph" w:styleId="Stopka">
    <w:name w:val="footer"/>
    <w:basedOn w:val="Normalny"/>
    <w:link w:val="StopkaZnak"/>
    <w:uiPriority w:val="99"/>
    <w:unhideWhenUsed/>
    <w:rsid w:val="007C43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430C"/>
  </w:style>
  <w:style w:type="character" w:styleId="Hipercze">
    <w:name w:val="Hyperlink"/>
    <w:uiPriority w:val="99"/>
    <w:unhideWhenUsed/>
    <w:rsid w:val="007C430C"/>
    <w:rPr>
      <w:color w:val="0000FF"/>
      <w:u w:val="single"/>
    </w:rPr>
  </w:style>
  <w:style w:type="character" w:styleId="Odwoaniedokomentarza">
    <w:name w:val="annotation reference"/>
    <w:uiPriority w:val="99"/>
    <w:semiHidden/>
    <w:unhideWhenUsed/>
    <w:rsid w:val="001D5A11"/>
    <w:rPr>
      <w:sz w:val="16"/>
      <w:szCs w:val="16"/>
    </w:rPr>
  </w:style>
  <w:style w:type="paragraph" w:styleId="Tekstkomentarza">
    <w:name w:val="annotation text"/>
    <w:basedOn w:val="Normalny"/>
    <w:link w:val="TekstkomentarzaZnak"/>
    <w:uiPriority w:val="99"/>
    <w:semiHidden/>
    <w:unhideWhenUsed/>
    <w:rsid w:val="001D5A11"/>
    <w:rPr>
      <w:sz w:val="20"/>
      <w:szCs w:val="20"/>
    </w:rPr>
  </w:style>
  <w:style w:type="character" w:customStyle="1" w:styleId="TekstkomentarzaZnak">
    <w:name w:val="Tekst komentarza Znak"/>
    <w:link w:val="Tekstkomentarza"/>
    <w:uiPriority w:val="99"/>
    <w:semiHidden/>
    <w:rsid w:val="001D5A11"/>
    <w:rPr>
      <w:lang w:eastAsia="en-US"/>
    </w:rPr>
  </w:style>
  <w:style w:type="paragraph" w:styleId="Tematkomentarza">
    <w:name w:val="annotation subject"/>
    <w:basedOn w:val="Tekstkomentarza"/>
    <w:next w:val="Tekstkomentarza"/>
    <w:link w:val="TematkomentarzaZnak"/>
    <w:uiPriority w:val="99"/>
    <w:semiHidden/>
    <w:unhideWhenUsed/>
    <w:rsid w:val="001D5A11"/>
    <w:rPr>
      <w:b/>
      <w:bCs/>
    </w:rPr>
  </w:style>
  <w:style w:type="character" w:customStyle="1" w:styleId="TematkomentarzaZnak">
    <w:name w:val="Temat komentarza Znak"/>
    <w:link w:val="Tematkomentarza"/>
    <w:uiPriority w:val="99"/>
    <w:semiHidden/>
    <w:rsid w:val="001D5A11"/>
    <w:rPr>
      <w:b/>
      <w:bCs/>
      <w:lang w:eastAsia="en-US"/>
    </w:rPr>
  </w:style>
  <w:style w:type="paragraph" w:styleId="Poprawka">
    <w:name w:val="Revision"/>
    <w:hidden/>
    <w:uiPriority w:val="99"/>
    <w:semiHidden/>
    <w:rsid w:val="00534301"/>
    <w:rPr>
      <w:sz w:val="22"/>
      <w:szCs w:val="22"/>
      <w:lang w:eastAsia="en-US"/>
    </w:rPr>
  </w:style>
  <w:style w:type="paragraph" w:styleId="Tekstprzypisukocowego">
    <w:name w:val="endnote text"/>
    <w:basedOn w:val="Normalny"/>
    <w:link w:val="TekstprzypisukocowegoZnak"/>
    <w:uiPriority w:val="99"/>
    <w:semiHidden/>
    <w:unhideWhenUsed/>
    <w:rsid w:val="00232AE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32AE6"/>
    <w:rPr>
      <w:lang w:eastAsia="en-US"/>
    </w:rPr>
  </w:style>
  <w:style w:type="character" w:styleId="Odwoanieprzypisukocowego">
    <w:name w:val="endnote reference"/>
    <w:basedOn w:val="Domylnaczcionkaakapitu"/>
    <w:uiPriority w:val="99"/>
    <w:semiHidden/>
    <w:unhideWhenUsed/>
    <w:rsid w:val="00232AE6"/>
    <w:rPr>
      <w:vertAlign w:val="superscript"/>
    </w:rPr>
  </w:style>
  <w:style w:type="character" w:styleId="Uwydatnienie">
    <w:name w:val="Emphasis"/>
    <w:uiPriority w:val="20"/>
    <w:qFormat/>
    <w:rsid w:val="002855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454</Words>
  <Characters>2724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3172</CharactersWithSpaces>
  <SharedDoc>false</SharedDoc>
  <HLinks>
    <vt:vector size="12" baseType="variant">
      <vt:variant>
        <vt:i4>458875</vt:i4>
      </vt:variant>
      <vt:variant>
        <vt:i4>3</vt:i4>
      </vt:variant>
      <vt:variant>
        <vt:i4>0</vt:i4>
      </vt:variant>
      <vt:variant>
        <vt:i4>5</vt:i4>
      </vt:variant>
      <vt:variant>
        <vt:lpwstr>mailto:bartosz.sosnowka@dwapiar.pl</vt:lpwstr>
      </vt:variant>
      <vt:variant>
        <vt:lpwstr/>
      </vt:variant>
      <vt:variant>
        <vt:i4>8257658</vt:i4>
      </vt:variant>
      <vt:variant>
        <vt:i4>0</vt:i4>
      </vt:variant>
      <vt:variant>
        <vt:i4>0</vt:i4>
      </vt:variant>
      <vt:variant>
        <vt:i4>5</vt:i4>
      </vt:variant>
      <vt:variant>
        <vt:lpwstr>http://www.faktoring.bnpparibas.pl/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Sosnek</dc:creator>
  <cp:keywords/>
  <cp:lastModifiedBy>Bart Sosnek</cp:lastModifiedBy>
  <cp:revision>5</cp:revision>
  <dcterms:created xsi:type="dcterms:W3CDTF">2024-08-12T11:56:00Z</dcterms:created>
  <dcterms:modified xsi:type="dcterms:W3CDTF">2024-08-12T12:12:00Z</dcterms:modified>
</cp:coreProperties>
</file>